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39" w:rsidRDefault="00227E40" w:rsidP="00DA6532">
      <w:pPr>
        <w:tabs>
          <w:tab w:val="left" w:pos="480"/>
          <w:tab w:val="left" w:pos="960"/>
          <w:tab w:val="left" w:pos="144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國立成功商業水產職業學校</w:t>
      </w:r>
    </w:p>
    <w:p w:rsidR="00734C39" w:rsidRDefault="00227E40">
      <w:pPr>
        <w:tabs>
          <w:tab w:val="left" w:pos="480"/>
          <w:tab w:val="left" w:pos="960"/>
          <w:tab w:val="left" w:pos="144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後堀</w:t>
      </w:r>
      <w:proofErr w:type="gramStart"/>
      <w:r>
        <w:rPr>
          <w:rFonts w:ascii="標楷體" w:eastAsia="標楷體" w:hAnsi="標楷體"/>
          <w:sz w:val="40"/>
          <w:szCs w:val="40"/>
        </w:rPr>
        <w:t>振</w:t>
      </w:r>
      <w:proofErr w:type="gramEnd"/>
      <w:r>
        <w:rPr>
          <w:rFonts w:ascii="標楷體" w:eastAsia="標楷體" w:hAnsi="標楷體"/>
          <w:sz w:val="40"/>
          <w:szCs w:val="40"/>
        </w:rPr>
        <w:t>天宮紀念徐石山先生獎助學金實施管理辦法</w:t>
      </w:r>
    </w:p>
    <w:p w:rsidR="00734C39" w:rsidRDefault="00227E40">
      <w:pPr>
        <w:tabs>
          <w:tab w:val="left" w:pos="480"/>
          <w:tab w:val="left" w:pos="960"/>
          <w:tab w:val="left" w:pos="1440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1100609</w:t>
      </w:r>
      <w:r w:rsidR="00B314D8">
        <w:rPr>
          <w:rFonts w:ascii="標楷體" w:eastAsia="標楷體" w:hAnsi="標楷體"/>
        </w:rPr>
        <w:t>行政會報</w:t>
      </w:r>
      <w:r w:rsidR="00F24F4E">
        <w:rPr>
          <w:rFonts w:ascii="標楷體" w:eastAsia="標楷體" w:hAnsi="標楷體"/>
        </w:rPr>
        <w:t>修訂</w:t>
      </w:r>
      <w:bookmarkStart w:id="0" w:name="_GoBack"/>
      <w:bookmarkEnd w:id="0"/>
      <w:r w:rsidR="00B314D8">
        <w:rPr>
          <w:rFonts w:ascii="標楷體" w:eastAsia="標楷體" w:hAnsi="標楷體"/>
        </w:rPr>
        <w:t>通過</w:t>
      </w:r>
    </w:p>
    <w:p w:rsidR="00734C39" w:rsidRDefault="00227E40">
      <w:pPr>
        <w:tabs>
          <w:tab w:val="left" w:pos="480"/>
          <w:tab w:val="left" w:pos="960"/>
          <w:tab w:val="left" w:pos="1440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1031008行政會報修訂通過</w:t>
      </w:r>
    </w:p>
    <w:p w:rsidR="00734C39" w:rsidRDefault="00227E40">
      <w:pPr>
        <w:tabs>
          <w:tab w:val="left" w:pos="480"/>
          <w:tab w:val="left" w:pos="960"/>
          <w:tab w:val="left" w:pos="1440"/>
        </w:tabs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990921徐志漳先生提供</w:t>
      </w:r>
    </w:p>
    <w:p w:rsidR="00734C39" w:rsidRDefault="00227E40">
      <w:pPr>
        <w:numPr>
          <w:ilvl w:val="0"/>
          <w:numId w:val="1"/>
        </w:numPr>
        <w:tabs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目的：為鼓勵本校學生努力向學，獎勵學業成績優良學生及協助清寒學生能順利完成學業，</w:t>
      </w:r>
      <w:proofErr w:type="gramStart"/>
      <w:r>
        <w:rPr>
          <w:rFonts w:ascii="標楷體" w:eastAsia="標楷體" w:hAnsi="標楷體"/>
          <w:sz w:val="26"/>
          <w:szCs w:val="26"/>
        </w:rPr>
        <w:t>並使獎助學金</w:t>
      </w:r>
      <w:proofErr w:type="gramEnd"/>
      <w:r>
        <w:rPr>
          <w:rFonts w:ascii="標楷體" w:eastAsia="標楷體" w:hAnsi="標楷體"/>
          <w:sz w:val="26"/>
          <w:szCs w:val="26"/>
        </w:rPr>
        <w:t>實施作業有所遵循，特訂定本辦法。</w:t>
      </w:r>
    </w:p>
    <w:p w:rsidR="00734C39" w:rsidRDefault="00227E40">
      <w:pPr>
        <w:numPr>
          <w:ilvl w:val="0"/>
          <w:numId w:val="1"/>
        </w:numPr>
        <w:tabs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適用對象：本校學生。</w:t>
      </w:r>
    </w:p>
    <w:p w:rsidR="00734C39" w:rsidRDefault="00227E40">
      <w:pPr>
        <w:numPr>
          <w:ilvl w:val="0"/>
          <w:numId w:val="1"/>
        </w:numPr>
        <w:tabs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</w:pPr>
      <w:r>
        <w:rPr>
          <w:rFonts w:ascii="標楷體" w:eastAsia="標楷體" w:hAnsi="標楷體"/>
          <w:sz w:val="26"/>
          <w:szCs w:val="26"/>
        </w:rPr>
        <w:t>獎助學金種類：分為學業成績優良獎學金、清寒優秀學生助學金及</w:t>
      </w:r>
      <w:r>
        <w:rPr>
          <w:rFonts w:eastAsia="標楷體"/>
          <w:b/>
          <w:color w:val="FF0000"/>
          <w:sz w:val="32"/>
          <w:u w:val="single"/>
        </w:rPr>
        <w:t>學業成績進步獎</w:t>
      </w:r>
      <w:r>
        <w:rPr>
          <w:rFonts w:ascii="標楷體" w:eastAsia="標楷體" w:hAnsi="標楷體"/>
          <w:sz w:val="26"/>
          <w:szCs w:val="26"/>
        </w:rPr>
        <w:t>三種。</w:t>
      </w:r>
    </w:p>
    <w:p w:rsidR="00734C39" w:rsidRDefault="00227E40">
      <w:pPr>
        <w:numPr>
          <w:ilvl w:val="0"/>
          <w:numId w:val="1"/>
        </w:numPr>
        <w:tabs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獎助學金頒發標準：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</w:pPr>
      <w:r>
        <w:rPr>
          <w:rFonts w:ascii="標楷體" w:eastAsia="標楷體" w:hAnsi="標楷體"/>
          <w:sz w:val="26"/>
          <w:szCs w:val="26"/>
        </w:rPr>
        <w:t>學業成績優良獎學金：</w:t>
      </w:r>
      <w:r>
        <w:rPr>
          <w:rFonts w:ascii="標楷體" w:eastAsia="標楷體" w:hAnsi="標楷體"/>
          <w:sz w:val="26"/>
          <w:szCs w:val="26"/>
        </w:rPr>
        <w:br/>
        <w:t>本獎學金之頒發，以全學年學業平均總成績為依據且德行評量以功過相抵無記過(含三次警告)之紀錄，每班三名，</w:t>
      </w:r>
      <w:r>
        <w:rPr>
          <w:rFonts w:ascii="標楷體" w:eastAsia="標楷體" w:hAnsi="標楷體"/>
          <w:b/>
          <w:strike/>
          <w:color w:val="FF0000"/>
          <w:sz w:val="26"/>
          <w:szCs w:val="26"/>
          <w:u w:val="single"/>
        </w:rPr>
        <w:t>每名發給獎狀乙紙，</w:t>
      </w:r>
      <w:r>
        <w:rPr>
          <w:rFonts w:ascii="標楷體" w:eastAsia="標楷體" w:hAnsi="標楷體"/>
          <w:sz w:val="26"/>
          <w:szCs w:val="26"/>
        </w:rPr>
        <w:t>並依學業成績平均依序頒發獎學金伍仟元、參仟元、貳仟元整。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</w:pPr>
      <w:r>
        <w:rPr>
          <w:rFonts w:ascii="標楷體" w:eastAsia="標楷體" w:hAnsi="標楷體"/>
          <w:sz w:val="26"/>
          <w:szCs w:val="26"/>
        </w:rPr>
        <w:t>清寒優秀學生助學金：</w:t>
      </w:r>
      <w:r>
        <w:rPr>
          <w:rFonts w:ascii="標楷體" w:eastAsia="標楷體" w:hAnsi="標楷體"/>
          <w:sz w:val="26"/>
          <w:szCs w:val="26"/>
        </w:rPr>
        <w:br/>
        <w:t>經導師認定為清寒之學生，其全學年學業平均70分以上且德行評量以功過相抵無記過(含三次警告)之紀錄，每班三名，</w:t>
      </w:r>
      <w:r>
        <w:rPr>
          <w:rFonts w:ascii="標楷體" w:eastAsia="標楷體" w:hAnsi="標楷體"/>
          <w:b/>
          <w:strike/>
          <w:color w:val="FF0000"/>
          <w:sz w:val="26"/>
          <w:szCs w:val="26"/>
          <w:u w:val="single"/>
        </w:rPr>
        <w:t>每名發給獎狀乙紙，</w:t>
      </w:r>
      <w:r>
        <w:rPr>
          <w:rFonts w:ascii="標楷體" w:eastAsia="標楷體" w:hAnsi="標楷體"/>
          <w:sz w:val="26"/>
          <w:szCs w:val="26"/>
        </w:rPr>
        <w:t>並依學業成績平均依序頒發獎學金伍仟元、參仟元、貳仟元整。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</w:pP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學業成績進步獎：</w:t>
      </w:r>
      <w:r>
        <w:rPr>
          <w:rFonts w:ascii="標楷體" w:eastAsia="標楷體" w:hAnsi="標楷體"/>
          <w:color w:val="FF0000"/>
          <w:sz w:val="26"/>
          <w:szCs w:val="26"/>
        </w:rPr>
        <w:t>：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br/>
        <w:t>學期學業成績60分以上，任</w:t>
      </w:r>
      <w:proofErr w:type="gramStart"/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科目未低於40分(若該生為特殊生，則為任</w:t>
      </w:r>
      <w:proofErr w:type="gramStart"/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一</w:t>
      </w:r>
      <w:proofErr w:type="gramEnd"/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科目未低於30分)且德行評量以功過相抵無記過(含三次警告)之紀錄者，各學年第二學期成績較第一學期成績進步，每班三名，依進步分數依序獎勵第1名500元、第2名300元、第3名200元整。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學生同時符合前一二款資格時，僅能擇</w:t>
      </w:r>
      <w:proofErr w:type="gramStart"/>
      <w:r>
        <w:rPr>
          <w:rFonts w:ascii="標楷體" w:eastAsia="標楷體" w:hAnsi="標楷體"/>
          <w:sz w:val="26"/>
          <w:szCs w:val="26"/>
        </w:rPr>
        <w:t>一</w:t>
      </w:r>
      <w:proofErr w:type="gramEnd"/>
      <w:r>
        <w:rPr>
          <w:rFonts w:ascii="標楷體" w:eastAsia="標楷體" w:hAnsi="標楷體"/>
          <w:sz w:val="26"/>
          <w:szCs w:val="26"/>
        </w:rPr>
        <w:t>申請。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獲得補助之學生需同時附上感謝函(卡)，未繳交者取消其錄取資格。</w:t>
      </w:r>
    </w:p>
    <w:p w:rsidR="00734C39" w:rsidRDefault="00227E40">
      <w:pPr>
        <w:numPr>
          <w:ilvl w:val="0"/>
          <w:numId w:val="3"/>
        </w:numPr>
        <w:tabs>
          <w:tab w:val="left" w:pos="960"/>
          <w:tab w:val="left" w:pos="1148"/>
          <w:tab w:val="left" w:pos="1176"/>
          <w:tab w:val="left" w:pos="1440"/>
        </w:tabs>
        <w:suppressAutoHyphens w:val="0"/>
        <w:spacing w:line="440" w:lineRule="exact"/>
        <w:ind w:left="1190" w:hanging="546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每學年若有餘款，則累積至下</w:t>
      </w:r>
      <w:proofErr w:type="gramStart"/>
      <w:r>
        <w:rPr>
          <w:rFonts w:ascii="標楷體" w:eastAsia="標楷體" w:hAnsi="標楷體"/>
          <w:sz w:val="26"/>
          <w:szCs w:val="26"/>
        </w:rPr>
        <w:t>學年度獎助學金</w:t>
      </w:r>
      <w:proofErr w:type="gramEnd"/>
      <w:r>
        <w:rPr>
          <w:rFonts w:ascii="標楷體" w:eastAsia="標楷體" w:hAnsi="標楷體"/>
          <w:sz w:val="26"/>
          <w:szCs w:val="26"/>
        </w:rPr>
        <w:t>專款項下。</w:t>
      </w:r>
    </w:p>
    <w:p w:rsidR="00734C39" w:rsidRDefault="00227E40">
      <w:pPr>
        <w:numPr>
          <w:ilvl w:val="0"/>
          <w:numId w:val="1"/>
        </w:numPr>
        <w:tabs>
          <w:tab w:val="left" w:pos="480"/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獎助學金頒發時間：</w:t>
      </w:r>
      <w:proofErr w:type="gramStart"/>
      <w:r>
        <w:rPr>
          <w:rFonts w:ascii="標楷體" w:eastAsia="標楷體" w:hAnsi="標楷體"/>
          <w:sz w:val="26"/>
          <w:szCs w:val="26"/>
        </w:rPr>
        <w:t>本獎助學金</w:t>
      </w:r>
      <w:proofErr w:type="gramEnd"/>
      <w:r>
        <w:rPr>
          <w:rFonts w:ascii="標楷體" w:eastAsia="標楷體" w:hAnsi="標楷體"/>
          <w:sz w:val="26"/>
          <w:szCs w:val="26"/>
        </w:rPr>
        <w:t>每學年頒發一次，於次學年度第一學期頒發，三年級學生於畢業典禮時頒發。</w:t>
      </w:r>
    </w:p>
    <w:p w:rsidR="00734C39" w:rsidRDefault="00227E40">
      <w:pPr>
        <w:numPr>
          <w:ilvl w:val="0"/>
          <w:numId w:val="1"/>
        </w:numPr>
        <w:tabs>
          <w:tab w:val="left" w:pos="480"/>
          <w:tab w:val="left" w:pos="574"/>
          <w:tab w:val="left" w:pos="960"/>
          <w:tab w:val="left" w:pos="1440"/>
        </w:tabs>
        <w:suppressAutoHyphens w:val="0"/>
        <w:spacing w:line="440" w:lineRule="exact"/>
        <w:ind w:left="598" w:hanging="598"/>
        <w:textAlignment w:val="auto"/>
      </w:pPr>
      <w:r>
        <w:rPr>
          <w:rFonts w:ascii="標楷體" w:eastAsia="標楷體" w:hAnsi="標楷體"/>
          <w:sz w:val="26"/>
          <w:szCs w:val="26"/>
        </w:rPr>
        <w:t>本要點經徐志漳先生提供，</w:t>
      </w:r>
      <w:r>
        <w:rPr>
          <w:rFonts w:ascii="標楷體" w:eastAsia="標楷體" w:hAnsi="標楷體"/>
          <w:b/>
          <w:color w:val="FF0000"/>
          <w:sz w:val="26"/>
          <w:szCs w:val="26"/>
          <w:u w:val="single"/>
        </w:rPr>
        <w:t>並經行政會報審議通過，陳請校長核定後公告實施，修正時亦同。</w:t>
      </w:r>
    </w:p>
    <w:p w:rsidR="00734C39" w:rsidRDefault="00734C39">
      <w:pPr>
        <w:tabs>
          <w:tab w:val="left" w:pos="210"/>
        </w:tabs>
        <w:spacing w:line="240" w:lineRule="atLeast"/>
      </w:pPr>
    </w:p>
    <w:sectPr w:rsidR="00734C39">
      <w:pgSz w:w="11906" w:h="16838"/>
      <w:pgMar w:top="1134" w:right="1134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D3" w:rsidRDefault="00227E40">
      <w:r>
        <w:separator/>
      </w:r>
    </w:p>
  </w:endnote>
  <w:endnote w:type="continuationSeparator" w:id="0">
    <w:p w:rsidR="002D07D3" w:rsidRDefault="002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D3" w:rsidRDefault="00227E40">
      <w:r>
        <w:rPr>
          <w:color w:val="000000"/>
        </w:rPr>
        <w:separator/>
      </w:r>
    </w:p>
  </w:footnote>
  <w:footnote w:type="continuationSeparator" w:id="0">
    <w:p w:rsidR="002D07D3" w:rsidRDefault="0022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097"/>
    <w:multiLevelType w:val="multilevel"/>
    <w:tmpl w:val="4C4696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4BCA51BB"/>
    <w:multiLevelType w:val="multilevel"/>
    <w:tmpl w:val="670CC464"/>
    <w:lvl w:ilvl="0">
      <w:start w:val="1"/>
      <w:numFmt w:val="taiwaneseCountingThousand"/>
      <w:lvlText w:val="(%1)"/>
      <w:lvlJc w:val="left"/>
      <w:pPr>
        <w:ind w:left="482" w:hanging="482"/>
      </w:pPr>
      <w:rPr>
        <w:rFonts w:eastAsia="標楷體"/>
        <w:b w:val="0"/>
        <w:i w:val="0"/>
        <w:position w:val="0"/>
        <w:sz w:val="24"/>
        <w:szCs w:val="24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E92B68"/>
    <w:multiLevelType w:val="multilevel"/>
    <w:tmpl w:val="BB38EBE4"/>
    <w:styleLink w:val="LFO2"/>
    <w:lvl w:ilvl="0">
      <w:start w:val="1"/>
      <w:numFmt w:val="taiwaneseCountingThousand"/>
      <w:pStyle w:val="2"/>
      <w:lvlText w:val="%1、"/>
      <w:lvlJc w:val="left"/>
      <w:pPr>
        <w:ind w:left="450" w:hanging="450"/>
      </w:pPr>
    </w:lvl>
    <w:lvl w:ilvl="1">
      <w:start w:val="1"/>
      <w:numFmt w:val="ideographDigital"/>
      <w:lvlText w:val="(%2)"/>
      <w:lvlJc w:val="left"/>
      <w:pPr>
        <w:ind w:left="962" w:hanging="482"/>
      </w:pPr>
    </w:lvl>
    <w:lvl w:ilvl="2">
      <w:start w:val="1"/>
      <w:numFmt w:val="decimal"/>
      <w:lvlText w:val="%3."/>
      <w:lvlJc w:val="left"/>
      <w:pPr>
        <w:ind w:left="960" w:firstLine="0"/>
      </w:pPr>
      <w:rPr>
        <w:rFonts w:eastAsia="標楷體"/>
        <w:b w:val="0"/>
        <w:i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C39"/>
    <w:rsid w:val="00227E40"/>
    <w:rsid w:val="002D07D3"/>
    <w:rsid w:val="004E0472"/>
    <w:rsid w:val="006E41B7"/>
    <w:rsid w:val="00734C39"/>
    <w:rsid w:val="00B314D8"/>
    <w:rsid w:val="00DA6532"/>
    <w:rsid w:val="00F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2">
    <w:name w:val="教案標題2"/>
    <w:basedOn w:val="a"/>
    <w:pPr>
      <w:numPr>
        <w:numId w:val="1"/>
      </w:numPr>
      <w:suppressAutoHyphens w:val="0"/>
      <w:textAlignment w:val="auto"/>
    </w:pPr>
  </w:style>
  <w:style w:type="numbering" w:customStyle="1" w:styleId="LFO2">
    <w:name w:val="LFO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2">
    <w:name w:val="教案標題2"/>
    <w:basedOn w:val="a"/>
    <w:pPr>
      <w:numPr>
        <w:numId w:val="1"/>
      </w:numPr>
      <w:suppressAutoHyphens w:val="0"/>
      <w:textAlignment w:val="auto"/>
    </w:pPr>
  </w:style>
  <w:style w:type="numbering" w:customStyle="1" w:styleId="LFO2">
    <w:name w:val="LFO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秘書室通知</dc:title>
  <dc:creator>admin</dc:creator>
  <cp:lastModifiedBy>admin</cp:lastModifiedBy>
  <cp:revision>7</cp:revision>
  <cp:lastPrinted>2021-06-04T08:34:00Z</cp:lastPrinted>
  <dcterms:created xsi:type="dcterms:W3CDTF">2021-06-09T08:53:00Z</dcterms:created>
  <dcterms:modified xsi:type="dcterms:W3CDTF">2021-06-09T09:05:00Z</dcterms:modified>
</cp:coreProperties>
</file>